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6E132C" w:rsidP="00C55B72">
      <w:pPr>
        <w:rPr>
          <w:b/>
        </w:rPr>
      </w:pPr>
      <w:r>
        <w:rPr>
          <w:noProof/>
          <w:lang w:eastAsia="pl-PL"/>
        </w:rPr>
        <w:pict>
          <v:roundrect id="_x0000_s1026" style="position:absolute;margin-left:162pt;margin-top:1.35pt;width:294.4pt;height:96.65pt;z-index:1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6E132C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0615F6" w:rsidRDefault="000615F6" w:rsidP="002B4F3E">
      <w:pPr>
        <w:pStyle w:val="StandardowyStandardowy1"/>
        <w:spacing w:line="360" w:lineRule="auto"/>
        <w:rPr>
          <w:b/>
          <w:sz w:val="26"/>
          <w:szCs w:val="26"/>
        </w:rPr>
      </w:pPr>
    </w:p>
    <w:p w:rsidR="00242A2C" w:rsidRDefault="00AB24CE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28</w:t>
      </w:r>
      <w:r w:rsidR="00B106C4">
        <w:rPr>
          <w:sz w:val="24"/>
        </w:rPr>
        <w:t>.10</w:t>
      </w:r>
      <w:r w:rsidR="00242A2C">
        <w:rPr>
          <w:sz w:val="24"/>
        </w:rPr>
        <w:t>.2015</w:t>
      </w:r>
      <w:r w:rsidR="00EE6165">
        <w:rPr>
          <w:sz w:val="24"/>
        </w:rPr>
        <w:t xml:space="preserve"> roku.</w:t>
      </w:r>
    </w:p>
    <w:p w:rsidR="00F65F4F" w:rsidRDefault="00F65F4F" w:rsidP="00242A2C">
      <w:pPr>
        <w:pStyle w:val="StandardowyStandardowy1"/>
        <w:spacing w:line="240" w:lineRule="auto"/>
        <w:jc w:val="left"/>
        <w:rPr>
          <w:sz w:val="24"/>
        </w:rPr>
      </w:pPr>
    </w:p>
    <w:p w:rsidR="000615F6" w:rsidRDefault="000615F6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0C4D86"/>
    <w:p w:rsidR="000615F6" w:rsidRDefault="000615F6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4F40B1" w:rsidRPr="00B106C4" w:rsidRDefault="004F40B1" w:rsidP="00B106C4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sz w:val="22"/>
          <w:szCs w:val="22"/>
          <w:lang w:eastAsia="pl-PL"/>
        </w:rPr>
        <w:t>„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PRZEBUDOWA I NADBUDOWA ZE ZMIANĄ SPOSOBU UŻYTKOWANIA 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br/>
        <w:t>BUDYNKU DAWNEJ SZKOŁY NA BUDYNEK BIUROWO-SOCJALNY</w:t>
      </w: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b/>
          <w:sz w:val="22"/>
          <w:szCs w:val="22"/>
          <w:lang w:eastAsia="pl-PL"/>
        </w:rPr>
        <w:t>41-303 Dąbrowa Górnicza, Al. J. Piłsudskiego 74, dz. nr ewid. 66/13 km 31”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242A2C" w:rsidRDefault="00242A2C" w:rsidP="00A261A7">
      <w:pPr>
        <w:autoSpaceDE w:val="0"/>
        <w:ind w:left="330" w:firstLine="46"/>
        <w:jc w:val="both"/>
        <w:rPr>
          <w:b/>
        </w:rPr>
      </w:pPr>
    </w:p>
    <w:p w:rsidR="000615F6" w:rsidRPr="00A261A7" w:rsidRDefault="000615F6" w:rsidP="00A261A7">
      <w:pPr>
        <w:autoSpaceDE w:val="0"/>
        <w:ind w:left="330" w:firstLine="46"/>
        <w:jc w:val="both"/>
        <w:rPr>
          <w:b/>
        </w:rPr>
      </w:pPr>
    </w:p>
    <w:p w:rsidR="00B106C4" w:rsidRDefault="009F2EA1" w:rsidP="00FE7B08">
      <w:pPr>
        <w:pStyle w:val="StandardowyStandardowy1"/>
        <w:spacing w:line="240" w:lineRule="auto"/>
        <w:rPr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późn. zm.) do Specyfikacji Istotnych Warunków Zamówienia Zamawiający udziela odpowiedzi na postawione pytani</w:t>
      </w:r>
      <w:r w:rsidR="00B106C4">
        <w:rPr>
          <w:sz w:val="24"/>
          <w:szCs w:val="24"/>
        </w:rPr>
        <w:t>a.</w:t>
      </w:r>
    </w:p>
    <w:p w:rsidR="000C4D86" w:rsidRDefault="000C4D86" w:rsidP="00FE7B08">
      <w:pPr>
        <w:pStyle w:val="StandardowyStandardowy1"/>
        <w:spacing w:line="240" w:lineRule="auto"/>
        <w:rPr>
          <w:sz w:val="24"/>
          <w:szCs w:val="24"/>
        </w:rPr>
      </w:pPr>
    </w:p>
    <w:p w:rsidR="005B11A4" w:rsidRPr="005B11A4" w:rsidRDefault="005B11A4" w:rsidP="004F40B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</w:p>
    <w:p w:rsidR="005B11A4" w:rsidRPr="005B11A4" w:rsidRDefault="005B11A4" w:rsidP="004F40B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>Dotyczy §3.ust. 8,9Umowy</w:t>
      </w:r>
    </w:p>
    <w:p w:rsidR="005B11A4" w:rsidRPr="005B11A4" w:rsidRDefault="005B11A4" w:rsidP="004F40B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 xml:space="preserve">Czy Zamawiający potwierdza, że wstrzymanie prac będzie po wcześniejszym wezwaniu Wykonawcy do właściwego wykonywania robót? </w:t>
      </w:r>
    </w:p>
    <w:p w:rsidR="005B11A4" w:rsidRDefault="005B11A4" w:rsidP="004F40B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Odpowiedź:</w:t>
      </w:r>
    </w:p>
    <w:p w:rsidR="002B4F3E" w:rsidRPr="002B4F3E" w:rsidRDefault="002B4F3E" w:rsidP="004F40B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Zamawiający utrzymuje zapisy przedstawione w SIWZ.</w:t>
      </w:r>
    </w:p>
    <w:p w:rsidR="005B11A4" w:rsidRPr="005B11A4" w:rsidRDefault="005B11A4" w:rsidP="004F40B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2</w:t>
      </w:r>
    </w:p>
    <w:p w:rsidR="005B11A4" w:rsidRPr="005B11A4" w:rsidRDefault="005B11A4" w:rsidP="004F40B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>Dotyczy §5.ust. 21 Umowy</w:t>
      </w:r>
    </w:p>
    <w:p w:rsidR="005B11A4" w:rsidRPr="005B11A4" w:rsidRDefault="005B11A4" w:rsidP="004F40B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 xml:space="preserve">Wykonawca ma obowiązek na każde żądanie Wykonawcy przedkładać Oświadczenie podwykonawców. Czy Zamawiający wyraża zgodę na dopuszczenie także innych - niż oświadczenia samych Podwykonawców - dowodów potwierdzających zapłatę wymagalnego wynagrodzenia podwykonawcom lub dalszym podwykonawcom? </w:t>
      </w:r>
    </w:p>
    <w:p w:rsidR="005B11A4" w:rsidRPr="005B11A4" w:rsidRDefault="005B11A4" w:rsidP="004F40B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Odpowiedź:</w:t>
      </w:r>
    </w:p>
    <w:p w:rsidR="005B11A4" w:rsidRPr="005B11A4" w:rsidRDefault="00825532" w:rsidP="004F40B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utrzymuje zapisy przedstawione w SIWZ.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3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>Dotyczy § 16 ust.7 Umowy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 xml:space="preserve">Zamawiający może zgłosić zastrzeżenia do umowy z Podwykonawcą, gdy w projekcie umowy jest ustalone wynagrodzenie inne niż ryczałtowe. Jest to sprzeczne z art. 143b ust. </w:t>
      </w:r>
      <w:r w:rsidR="002B4F3E">
        <w:rPr>
          <w:rFonts w:eastAsia="Calibri"/>
          <w:lang w:eastAsia="en-US"/>
        </w:rPr>
        <w:br/>
      </w:r>
      <w:r w:rsidRPr="005B11A4">
        <w:rPr>
          <w:rFonts w:eastAsia="Calibri"/>
          <w:lang w:eastAsia="en-US"/>
        </w:rPr>
        <w:t xml:space="preserve">3 PZP, który wyczerpująco i restrykcyjnie wymienia podstawy do składania zastrzeżeń Zamawiającego. Przepis ten nie przewiduje możliwości odrzucenia Podwykonawcy z powodu </w:t>
      </w:r>
      <w:r w:rsidRPr="005B11A4">
        <w:rPr>
          <w:rFonts w:eastAsia="Calibri"/>
          <w:lang w:eastAsia="en-US"/>
        </w:rPr>
        <w:lastRenderedPageBreak/>
        <w:t>wynagrodzenia innego niż ryczałtowe. Czy Zamawiający może wykreślić zapis „w umowie, jej projekcie, aneksie do umowy lub jego projekcie ustalono wynagrodzenie, które nie jest ryczałtowe  ” w związku z brzmieniem art. 143b ust 3 PZP?</w:t>
      </w:r>
    </w:p>
    <w:p w:rsidR="005B11A4" w:rsidRPr="005B11A4" w:rsidRDefault="005B11A4" w:rsidP="004F40B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Odpowiedź:</w:t>
      </w:r>
    </w:p>
    <w:p w:rsidR="005B11A4" w:rsidRPr="005B11A4" w:rsidRDefault="00805328" w:rsidP="004F40B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utrzymuje zapisy przedstawione w SIWZ.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4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>Dotyczy § 13 ust. 3 Umowy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 xml:space="preserve">Wykonawca zapłaci Zamawiającemu karę umowną w wysokości 20% wynagrodzenia brutto w razie niewykonania lub nienależytego wykonania zobowiązania z przyczyn niezależnych od Zamawiającego. Określenie tak wysokiej kary za „nienależyte wykonanie” jest rażąco sprzeczne z właściwością i naturą stosunku. Definicja </w:t>
      </w:r>
      <w:r w:rsidRPr="005B11A4">
        <w:rPr>
          <w:rFonts w:eastAsia="Calibri"/>
          <w:i/>
          <w:lang w:eastAsia="en-US"/>
        </w:rPr>
        <w:t xml:space="preserve">nienależytego wykonania </w:t>
      </w:r>
      <w:r w:rsidRPr="005B11A4">
        <w:rPr>
          <w:rFonts w:eastAsia="Calibri"/>
          <w:lang w:eastAsia="en-US"/>
        </w:rPr>
        <w:t>obejmuje niemal wszystkie uchybienia Wykonawcy. Uwzględnienie takiego ryzyka w cenie jest możliwe tylko przez podwyższenie ceny ofertowej. Ponadto, zapis ten jest sprzeczny z zasadą określoności i oznaczoności kar umownych. Biorąc powyższe pod uwagę, czy Zamawiający zgadza się na wykreślenie wyrażenia „nienależyte wykonanie” ?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Odpowiedź:</w:t>
      </w:r>
    </w:p>
    <w:p w:rsidR="005B11A4" w:rsidRPr="005B11A4" w:rsidRDefault="00805328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805328">
        <w:rPr>
          <w:rFonts w:eastAsia="Calibri"/>
          <w:lang w:eastAsia="en-US"/>
        </w:rPr>
        <w:t>Zamawiający wyraża zgodę na wykreślenie zapisu "nienależyte wykonanie"</w:t>
      </w:r>
      <w:r>
        <w:rPr>
          <w:rFonts w:eastAsia="Calibri"/>
          <w:lang w:eastAsia="en-US"/>
        </w:rPr>
        <w:t>.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5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>Dotyczy § 17 ust. 2 Umowy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>Zamawiający nałożył na Wykonawcę obowiązek wykonywania gwarancji jakości, poprzez serwisowanie, konserwacje urządzeń. Powyższy zapis jest sprzeczny z charakterem przepisów o gwarancji jakości i nakłada na Wykonawcę obowiązki związane z eksploatacją urządzenia. W obecnym brzmieniu gwarancja jakości zmienia się w gwarancję eksploatacji urządzenia. Prowadzi to także do nałożenia na Wykonawcę nieokreślonych obowiązków serwisowania itd. Jest to sprzeczne z art.29 par. 1 PZP, który mówi o jednoznaczności w opisie przedmiotu zamówienia. Czy Zamawiający może dokładnie określić obowiązki Wykonawcy, tak by nie powstały wątpliwości na etapie eksploatacji urządzeń albo wykreślić zapisy o eksploatacji urządzenia?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Odpowiedź:</w:t>
      </w:r>
    </w:p>
    <w:p w:rsidR="005B11A4" w:rsidRPr="005B11A4" w:rsidRDefault="00805328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805328">
        <w:rPr>
          <w:rFonts w:eastAsia="Calibri"/>
          <w:lang w:eastAsia="en-US"/>
        </w:rPr>
        <w:t>Zamawiający utrzymuje zapisy przedstawione w SIWZ. W okresie gwarancji należy serwisować urządzenia i jeżeli istnieje taka potrzeba to należy w tym okresie prze</w:t>
      </w:r>
      <w:r>
        <w:rPr>
          <w:rFonts w:eastAsia="Calibri"/>
          <w:lang w:eastAsia="en-US"/>
        </w:rPr>
        <w:t>widzieć koszty materiałów eksploa</w:t>
      </w:r>
      <w:r w:rsidRPr="00805328">
        <w:rPr>
          <w:rFonts w:eastAsia="Calibri"/>
          <w:lang w:eastAsia="en-US"/>
        </w:rPr>
        <w:t>tacyjnych.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6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>Dotyczy § 17 ust. 12 Umowy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>Proszę o potwierdzenie, że termin gwarancji biegnie tylko w stosunku do rzeczy wymienionych, naprawionych, zgodnie z art. 581§ 1 i nie dotyczy on innych elementów naprawianego urządzenia?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Odpowiedź:</w:t>
      </w:r>
    </w:p>
    <w:p w:rsidR="005B11A4" w:rsidRPr="00805328" w:rsidRDefault="00805328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utrzymuje zapisy przedstawione w SIWZ.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7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>Dot. pkt. 3.2. 7 Karty Gwarancyjnej</w:t>
      </w:r>
    </w:p>
    <w:p w:rsid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>Czy Zamawiający wyraża zgodę na przedłużenie terminu usunięcia wad i usterek z 14 dni do 21 dni roboczych?</w:t>
      </w:r>
    </w:p>
    <w:p w:rsidR="004F40B1" w:rsidRPr="005B11A4" w:rsidRDefault="004F40B1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lastRenderedPageBreak/>
        <w:t>Odpowiedź:</w:t>
      </w:r>
    </w:p>
    <w:p w:rsidR="005B11A4" w:rsidRPr="00805328" w:rsidRDefault="00805328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utrzymuje zapisy przedstawione w SIWZ.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8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bCs/>
          <w:lang w:eastAsia="en-US"/>
        </w:rPr>
      </w:pPr>
      <w:r w:rsidRPr="005B11A4">
        <w:rPr>
          <w:rFonts w:eastAsia="Calibri"/>
          <w:bCs/>
          <w:lang w:eastAsia="en-US"/>
        </w:rPr>
        <w:t>Dotyczy pkt. 3.2.10 Karty Gwarancyjnej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>Prosimy o wyjaśnienie treści punktu 10, która aktualnie jest wewnętrznie sprzeczna, niezrozumiała i narusza art. 581 k.c. Prosimy o dostosowanie treści tego punktu do zasad ogólnych z art. 581 k.c.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Odpowiedź:</w:t>
      </w:r>
    </w:p>
    <w:p w:rsidR="005B11A4" w:rsidRPr="00805328" w:rsidRDefault="00805328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utrzymuje zapisy przedstawione w SIWZ.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9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bCs/>
          <w:lang w:eastAsia="en-US"/>
        </w:rPr>
      </w:pPr>
      <w:r w:rsidRPr="005B11A4">
        <w:rPr>
          <w:rFonts w:eastAsia="Calibri"/>
          <w:bCs/>
          <w:lang w:eastAsia="en-US"/>
        </w:rPr>
        <w:t>Dotyczy pkt. 3.2.4 Karty Gwarancyjnej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>Czy Zamawiający wyraża zgodę na modyfikację zapisu (dodanie zapisu dni roboczych)? Nowy zapis o treści: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>Wykonawca zobowiązuje się do przystąpienia do usuwania wad  i usterek w terminie siedmiu dni roboczych od daty powiadomienia przez Zamawiającego, a wad szczególnie uciążliwych w terminie trzech dni roboczych.</w:t>
      </w:r>
    </w:p>
    <w:p w:rsidR="005B11A4" w:rsidRPr="005B11A4" w:rsidRDefault="005B11A4" w:rsidP="004F40B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Odpowiedź:</w:t>
      </w:r>
    </w:p>
    <w:p w:rsidR="005B11A4" w:rsidRPr="005B11A4" w:rsidRDefault="00805328" w:rsidP="004F40B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Zamawiający utrzymuje zapisy przedstawione w SIWZ.</w:t>
      </w:r>
    </w:p>
    <w:p w:rsidR="005B11A4" w:rsidRPr="005B11A4" w:rsidRDefault="005B11A4" w:rsidP="004F40B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10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>Proszę o wyjaśnienie jaki  rodzaj ogrodzenia na</w:t>
      </w:r>
      <w:r w:rsidR="004F40B1">
        <w:rPr>
          <w:rFonts w:eastAsia="Calibri"/>
          <w:lang w:eastAsia="en-US"/>
        </w:rPr>
        <w:t>leży wykonać na odcinkach FED ?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Odpowiedź:</w:t>
      </w:r>
    </w:p>
    <w:p w:rsidR="002B4F3E" w:rsidRDefault="002B4F3E" w:rsidP="004F40B1">
      <w:pPr>
        <w:suppressAutoHyphens w:val="0"/>
        <w:spacing w:line="276" w:lineRule="auto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Na odcinku FED nie projektuje się ogrodzenia.</w:t>
      </w:r>
    </w:p>
    <w:p w:rsidR="005B11A4" w:rsidRPr="002B4F3E" w:rsidRDefault="005B11A4" w:rsidP="004F40B1">
      <w:pPr>
        <w:suppressAutoHyphens w:val="0"/>
        <w:spacing w:line="276" w:lineRule="auto"/>
        <w:rPr>
          <w:rFonts w:eastAsia="Calibri"/>
          <w:lang w:eastAsia="en-US"/>
        </w:rPr>
      </w:pPr>
      <w:r w:rsidRPr="005B11A4">
        <w:rPr>
          <w:rFonts w:eastAsia="Calibri"/>
          <w:b/>
          <w:lang w:eastAsia="en-US"/>
        </w:rPr>
        <w:t>Pytanie nr 11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lang w:eastAsia="en-US"/>
        </w:rPr>
      </w:pPr>
      <w:r w:rsidRPr="005B11A4">
        <w:rPr>
          <w:rFonts w:eastAsia="Calibri"/>
          <w:lang w:eastAsia="en-US"/>
        </w:rPr>
        <w:t>Prosimy o szczegółowe informacje dotyczące regałów przesuwnych – m.in. : głębokość, wysokość , ilość półek.</w:t>
      </w:r>
    </w:p>
    <w:p w:rsidR="005B11A4" w:rsidRPr="005B11A4" w:rsidRDefault="005B11A4" w:rsidP="004F40B1">
      <w:pPr>
        <w:suppressAutoHyphens w:val="0"/>
        <w:spacing w:after="100" w:afterAutospacing="1"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Odpowiedź: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Opis regałów: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 xml:space="preserve">Metalowe przesuwne regały półkowe i stacjonarne uzupełniające  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 xml:space="preserve">1.regały przesuwne dwustronne długości wszystkich rodzajów </w:t>
      </w:r>
      <w:r>
        <w:rPr>
          <w:rFonts w:eastAsia="Calibri"/>
          <w:lang w:eastAsia="en-US"/>
        </w:rPr>
        <w:t xml:space="preserve">regałów 425 do 430 cm + korba </w:t>
      </w:r>
      <w:r w:rsidRPr="002B4F3E">
        <w:rPr>
          <w:rFonts w:eastAsia="Calibri"/>
          <w:lang w:eastAsia="en-US"/>
        </w:rPr>
        <w:t xml:space="preserve">   (100,100,100,120)  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2.szerokość regału jednostronnego(głębokość regału) - 310 mm + uszczelka dystansowa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3.szerokość regału dwustronnego (2xgłębokość regału) - 620 mm + uszczelka dystansowa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4.ilość poziomów półek użytkowych w wysokości – 6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5.półka nieużytkowa wieńcząca w wysokości regału szt.– 1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6.światło półek – minimum 338 mm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7. oczekiwana długość półek jednostkowych w cm 98-103 i 118-123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 xml:space="preserve">8.każda półka zaczepiona w ścianie bocznej regału na solidnych zaczepach  o grubości minimum 3 mm zabezpieczających półkę przed jej oberwaniem w trakcie intensywnej eksploatacji 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9. Zmiana rozstawu półek bez rozkręcania śrub, skok zmiany w mm – 16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10.Wys.regału max 250 cm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11.Odporność każdej półki na obciążenia – 120 kg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12.Grubość każdej półki – minimum 30 mm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13.Pierwszy poziom składowania na wysokości min. 175 mm od posadzki</w:t>
      </w:r>
    </w:p>
    <w:p w:rsidR="002B4F3E" w:rsidRPr="002B4F3E" w:rsidRDefault="004F40B1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14.</w:t>
      </w:r>
      <w:r w:rsidR="002B4F3E" w:rsidRPr="002B4F3E">
        <w:rPr>
          <w:rFonts w:eastAsia="Calibri"/>
          <w:lang w:eastAsia="en-US"/>
        </w:rPr>
        <w:t xml:space="preserve">Tor do przesuwu regałów przygotowany do wypełnienia gresem przestrzeni między  torem ułożonym na wylewce, wysokości. max. - 20 mm, </w:t>
      </w:r>
    </w:p>
    <w:p w:rsidR="002B4F3E" w:rsidRPr="002B4F3E" w:rsidRDefault="004F40B1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15.</w:t>
      </w:r>
      <w:r w:rsidR="002B4F3E" w:rsidRPr="002B4F3E">
        <w:rPr>
          <w:rFonts w:eastAsia="Calibri"/>
          <w:lang w:eastAsia="en-US"/>
        </w:rPr>
        <w:t>Rodzaj toru - nawierzchniowy z najazdami szer. 100 mm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16.Tor zabezpieczony antykorozyjnie poprzez cynkowanie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17.Każdy regał wyposażony w antywyważniki zabezpieczające regały przed przechyłem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 xml:space="preserve">18. Każdy regał wyposażony w blokadę przesuwu umieszczoną w korbie,  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19.Wszystkie przekładnie i elementy napędu regałów stalowe.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20.Wymagana szerokość kół zabezpieczających powierzchnię kontaktu regału z torem – min. 35 mm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 xml:space="preserve">21. Każdy regał wyposażony w korbę do przesuwu regałów 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22. Korby do przesuwu regałów trójramienne, z równomiernie rozłożonymi ramionami.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23. Kolor RAL 7035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24.ilośc regałów przesuwnych dwustronnych – 56 szt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25.ilośc regałów stacjonarnych jednostronnych, przyściennych – 8 szt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WYKAZ OŚWIADCZEŃ I DOKUMENTÓW WYMAGANYCH OD WYKONAWCY: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Opinia niezależnego uprawnionego podmiotu potwierdzająca zgodność oferowanych regałów z wymogami ustawy o ogólnym bezpieczeństwie produktów.</w:t>
      </w:r>
    </w:p>
    <w:p w:rsidR="002B4F3E" w:rsidRPr="002B4F3E" w:rsidRDefault="002B4F3E" w:rsidP="004F40B1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2B4F3E">
        <w:rPr>
          <w:rFonts w:eastAsia="Calibri"/>
          <w:lang w:eastAsia="en-US"/>
        </w:rPr>
        <w:t>Opinia niezależnego uprawnionego do wydawania opinii podmiotu, potwierdzająca odporność półek oferowanych regałów na obciążenia 120 kg dla półki. Gwarancja 24 miesiące.</w:t>
      </w:r>
    </w:p>
    <w:p w:rsidR="005B11A4" w:rsidRPr="005B11A4" w:rsidRDefault="005B11A4" w:rsidP="004F40B1">
      <w:pPr>
        <w:suppressAutoHyphens w:val="0"/>
        <w:autoSpaceDE w:val="0"/>
        <w:autoSpaceDN w:val="0"/>
        <w:adjustRightInd w:val="0"/>
        <w:spacing w:line="276" w:lineRule="auto"/>
        <w:ind w:left="7080" w:firstLine="708"/>
        <w:jc w:val="both"/>
        <w:rPr>
          <w:rFonts w:eastAsia="Calibri"/>
          <w:lang w:eastAsia="en-US"/>
        </w:rPr>
      </w:pPr>
    </w:p>
    <w:p w:rsidR="000615F6" w:rsidRDefault="000615F6" w:rsidP="000C4D86">
      <w:pPr>
        <w:spacing w:line="276" w:lineRule="auto"/>
        <w:rPr>
          <w:rFonts w:eastAsia="Calibri"/>
          <w:lang w:eastAsia="en-US"/>
        </w:rPr>
      </w:pPr>
    </w:p>
    <w:p w:rsidR="00920E5D" w:rsidRPr="005B11A4" w:rsidRDefault="00920E5D" w:rsidP="000C4D86">
      <w:pPr>
        <w:spacing w:line="276" w:lineRule="auto"/>
        <w:rPr>
          <w:lang w:eastAsia="en-US"/>
        </w:rPr>
      </w:pPr>
    </w:p>
    <w:p w:rsidR="000615F6" w:rsidRDefault="000615F6" w:rsidP="000C4D86">
      <w:pPr>
        <w:spacing w:line="276" w:lineRule="auto"/>
        <w:rPr>
          <w:lang w:eastAsia="en-US"/>
        </w:rPr>
      </w:pPr>
    </w:p>
    <w:p w:rsidR="006A4780" w:rsidRDefault="006A4780" w:rsidP="000C4D86">
      <w:pPr>
        <w:spacing w:line="276" w:lineRule="auto"/>
        <w:rPr>
          <w:lang w:eastAsia="en-US"/>
        </w:rPr>
      </w:pPr>
      <w:r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>
        <w:rPr>
          <w:lang w:eastAsia="en-US"/>
        </w:rPr>
        <w:t>Kierownik Zamawiającego:</w:t>
      </w:r>
    </w:p>
    <w:p w:rsidR="006A4780" w:rsidRPr="00834362" w:rsidRDefault="00634F4E" w:rsidP="000C4D86">
      <w:pPr>
        <w:spacing w:line="276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34362">
        <w:rPr>
          <w:lang w:eastAsia="en-US"/>
        </w:rPr>
        <w:t xml:space="preserve">      </w:t>
      </w:r>
      <w:r w:rsidR="00834362" w:rsidRPr="00834362">
        <w:rPr>
          <w:i/>
          <w:lang w:eastAsia="en-US"/>
        </w:rPr>
        <w:t>Tomasz Sołtysik</w:t>
      </w:r>
    </w:p>
    <w:p w:rsidR="00065527" w:rsidRPr="00065527" w:rsidRDefault="00065527" w:rsidP="000C4D86">
      <w:pPr>
        <w:suppressAutoHyphens w:val="0"/>
        <w:spacing w:line="276" w:lineRule="auto"/>
        <w:ind w:left="709"/>
        <w:contextualSpacing/>
        <w:jc w:val="both"/>
        <w:rPr>
          <w:lang w:eastAsia="pl-PL"/>
        </w:rPr>
      </w:pPr>
    </w:p>
    <w:p w:rsidR="00065527" w:rsidRPr="00065527" w:rsidRDefault="00065527" w:rsidP="000C4D86">
      <w:pPr>
        <w:suppressAutoHyphens w:val="0"/>
        <w:spacing w:line="276" w:lineRule="auto"/>
        <w:ind w:left="720"/>
        <w:contextualSpacing/>
        <w:rPr>
          <w:lang w:eastAsia="pl-PL"/>
        </w:rPr>
      </w:pPr>
    </w:p>
    <w:p w:rsidR="00065527" w:rsidRPr="00065527" w:rsidRDefault="00065527" w:rsidP="000C4D86">
      <w:pPr>
        <w:suppressAutoHyphens w:val="0"/>
        <w:spacing w:line="276" w:lineRule="auto"/>
        <w:jc w:val="both"/>
        <w:rPr>
          <w:u w:val="single"/>
          <w:lang w:eastAsia="pl-PL"/>
        </w:rPr>
      </w:pPr>
      <w:bookmarkStart w:id="0" w:name="_GoBack"/>
    </w:p>
    <w:p w:rsidR="00065527" w:rsidRPr="00065527" w:rsidRDefault="00065527" w:rsidP="000C4D86">
      <w:pPr>
        <w:suppressAutoHyphens w:val="0"/>
        <w:spacing w:line="276" w:lineRule="auto"/>
        <w:jc w:val="both"/>
        <w:rPr>
          <w:lang w:eastAsia="pl-PL"/>
        </w:rPr>
      </w:pPr>
    </w:p>
    <w:p w:rsidR="00065527" w:rsidRPr="00065527" w:rsidRDefault="00065527" w:rsidP="000C4D86">
      <w:pPr>
        <w:suppressAutoHyphens w:val="0"/>
        <w:spacing w:line="276" w:lineRule="auto"/>
        <w:ind w:left="709"/>
        <w:contextualSpacing/>
        <w:jc w:val="both"/>
        <w:rPr>
          <w:lang w:eastAsia="pl-PL"/>
        </w:rPr>
      </w:pPr>
    </w:p>
    <w:p w:rsidR="00065527" w:rsidRPr="00065527" w:rsidRDefault="00065527" w:rsidP="000C4D86">
      <w:pPr>
        <w:suppressAutoHyphens w:val="0"/>
        <w:spacing w:line="276" w:lineRule="auto"/>
        <w:jc w:val="both"/>
        <w:rPr>
          <w:lang w:eastAsia="pl-PL"/>
        </w:rPr>
      </w:pPr>
    </w:p>
    <w:bookmarkEnd w:id="0"/>
    <w:p w:rsidR="006A4780" w:rsidRPr="006A4780" w:rsidRDefault="006A4780" w:rsidP="000C4D86">
      <w:pPr>
        <w:spacing w:line="276" w:lineRule="auto"/>
        <w:rPr>
          <w:i/>
          <w:lang w:eastAsia="en-US"/>
        </w:rPr>
      </w:pPr>
    </w:p>
    <w:p w:rsidR="000C4D86" w:rsidRPr="006A4780" w:rsidRDefault="000C4D86">
      <w:pPr>
        <w:spacing w:line="276" w:lineRule="auto"/>
        <w:rPr>
          <w:i/>
          <w:lang w:eastAsia="en-US"/>
        </w:rPr>
      </w:pPr>
    </w:p>
    <w:sectPr w:rsidR="000C4D86" w:rsidRPr="006A4780" w:rsidSect="009D7531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2C" w:rsidRDefault="006E132C" w:rsidP="00C55B72">
      <w:r>
        <w:separator/>
      </w:r>
    </w:p>
  </w:endnote>
  <w:endnote w:type="continuationSeparator" w:id="0">
    <w:p w:rsidR="006E132C" w:rsidRDefault="006E132C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834362">
      <w:rPr>
        <w:noProof/>
        <w:sz w:val="18"/>
        <w:szCs w:val="18"/>
      </w:rPr>
      <w:t>3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2C" w:rsidRDefault="006E132C" w:rsidP="00C55B72">
      <w:r>
        <w:separator/>
      </w:r>
    </w:p>
  </w:footnote>
  <w:footnote w:type="continuationSeparator" w:id="0">
    <w:p w:rsidR="006E132C" w:rsidRDefault="006E132C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B106C4">
      <w:t>ZP/005/</w:t>
    </w:r>
    <w:r w:rsidR="00FA667A">
      <w:t>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2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C6440A"/>
    <w:multiLevelType w:val="hybridMultilevel"/>
    <w:tmpl w:val="CE54E7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44"/>
        </w:tabs>
        <w:ind w:left="17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64"/>
        </w:tabs>
        <w:ind w:left="246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04"/>
        </w:tabs>
        <w:ind w:left="390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24"/>
        </w:tabs>
        <w:ind w:left="462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64"/>
        </w:tabs>
        <w:ind w:left="606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84"/>
        </w:tabs>
        <w:ind w:left="6784" w:hanging="360"/>
      </w:pPr>
    </w:lvl>
  </w:abstractNum>
  <w:abstractNum w:abstractNumId="49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3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5A860F3E"/>
    <w:multiLevelType w:val="hybridMultilevel"/>
    <w:tmpl w:val="4476C932"/>
    <w:lvl w:ilvl="0" w:tplc="81E21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6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2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5"/>
  </w:num>
  <w:num w:numId="3">
    <w:abstractNumId w:val="60"/>
  </w:num>
  <w:num w:numId="4">
    <w:abstractNumId w:val="34"/>
  </w:num>
  <w:num w:numId="5">
    <w:abstractNumId w:val="8"/>
  </w:num>
  <w:num w:numId="6">
    <w:abstractNumId w:val="45"/>
  </w:num>
  <w:num w:numId="7">
    <w:abstractNumId w:val="17"/>
  </w:num>
  <w:num w:numId="8">
    <w:abstractNumId w:val="21"/>
  </w:num>
  <w:num w:numId="9">
    <w:abstractNumId w:val="13"/>
  </w:num>
  <w:num w:numId="10">
    <w:abstractNumId w:val="16"/>
  </w:num>
  <w:num w:numId="11">
    <w:abstractNumId w:val="40"/>
  </w:num>
  <w:num w:numId="12">
    <w:abstractNumId w:val="58"/>
  </w:num>
  <w:num w:numId="13">
    <w:abstractNumId w:val="37"/>
  </w:num>
  <w:num w:numId="14">
    <w:abstractNumId w:val="61"/>
  </w:num>
  <w:num w:numId="15">
    <w:abstractNumId w:val="0"/>
  </w:num>
  <w:num w:numId="16">
    <w:abstractNumId w:val="18"/>
  </w:num>
  <w:num w:numId="17">
    <w:abstractNumId w:val="52"/>
  </w:num>
  <w:num w:numId="18">
    <w:abstractNumId w:val="65"/>
  </w:num>
  <w:num w:numId="19">
    <w:abstractNumId w:val="33"/>
  </w:num>
  <w:num w:numId="2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27"/>
  </w:num>
  <w:num w:numId="25">
    <w:abstractNumId w:val="38"/>
  </w:num>
  <w:num w:numId="26">
    <w:abstractNumId w:val="41"/>
  </w:num>
  <w:num w:numId="27">
    <w:abstractNumId w:val="7"/>
  </w:num>
  <w:num w:numId="28">
    <w:abstractNumId w:val="29"/>
  </w:num>
  <w:num w:numId="29">
    <w:abstractNumId w:val="72"/>
  </w:num>
  <w:num w:numId="30">
    <w:abstractNumId w:val="20"/>
  </w:num>
  <w:num w:numId="31">
    <w:abstractNumId w:val="53"/>
  </w:num>
  <w:num w:numId="32">
    <w:abstractNumId w:val="63"/>
  </w:num>
  <w:num w:numId="33">
    <w:abstractNumId w:val="51"/>
  </w:num>
  <w:num w:numId="34">
    <w:abstractNumId w:val="19"/>
  </w:num>
  <w:num w:numId="35">
    <w:abstractNumId w:val="3"/>
  </w:num>
  <w:num w:numId="36">
    <w:abstractNumId w:val="6"/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7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1"/>
  </w:num>
  <w:num w:numId="41">
    <w:abstractNumId w:val="3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</w:num>
  <w:num w:numId="44">
    <w:abstractNumId w:val="14"/>
  </w:num>
  <w:num w:numId="45">
    <w:abstractNumId w:val="9"/>
  </w:num>
  <w:num w:numId="46">
    <w:abstractNumId w:val="50"/>
  </w:num>
  <w:num w:numId="47">
    <w:abstractNumId w:val="10"/>
  </w:num>
  <w:num w:numId="48">
    <w:abstractNumId w:val="47"/>
  </w:num>
  <w:num w:numId="49">
    <w:abstractNumId w:val="15"/>
  </w:num>
  <w:num w:numId="50">
    <w:abstractNumId w:val="56"/>
  </w:num>
  <w:num w:numId="51">
    <w:abstractNumId w:val="55"/>
  </w:num>
  <w:num w:numId="52">
    <w:abstractNumId w:val="42"/>
  </w:num>
  <w:num w:numId="53">
    <w:abstractNumId w:val="57"/>
  </w:num>
  <w:num w:numId="54">
    <w:abstractNumId w:val="68"/>
  </w:num>
  <w:num w:numId="55">
    <w:abstractNumId w:val="70"/>
  </w:num>
  <w:num w:numId="56">
    <w:abstractNumId w:val="32"/>
  </w:num>
  <w:num w:numId="57">
    <w:abstractNumId w:val="46"/>
  </w:num>
  <w:num w:numId="58">
    <w:abstractNumId w:val="28"/>
  </w:num>
  <w:num w:numId="59">
    <w:abstractNumId w:val="24"/>
  </w:num>
  <w:num w:numId="60">
    <w:abstractNumId w:val="35"/>
  </w:num>
  <w:num w:numId="61">
    <w:abstractNumId w:val="69"/>
  </w:num>
  <w:num w:numId="62">
    <w:abstractNumId w:val="22"/>
  </w:num>
  <w:num w:numId="63">
    <w:abstractNumId w:val="62"/>
  </w:num>
  <w:num w:numId="64">
    <w:abstractNumId w:val="66"/>
  </w:num>
  <w:num w:numId="65">
    <w:abstractNumId w:val="64"/>
  </w:num>
  <w:num w:numId="66">
    <w:abstractNumId w:val="44"/>
  </w:num>
  <w:num w:numId="67">
    <w:abstractNumId w:val="30"/>
  </w:num>
  <w:num w:numId="68">
    <w:abstractNumId w:val="25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4"/>
  </w:num>
  <w:num w:numId="7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72"/>
    <w:rsid w:val="000139D0"/>
    <w:rsid w:val="000157D3"/>
    <w:rsid w:val="000200F3"/>
    <w:rsid w:val="00025254"/>
    <w:rsid w:val="00043A0F"/>
    <w:rsid w:val="000615F6"/>
    <w:rsid w:val="000627C5"/>
    <w:rsid w:val="00065527"/>
    <w:rsid w:val="0007319C"/>
    <w:rsid w:val="000772E9"/>
    <w:rsid w:val="000844FD"/>
    <w:rsid w:val="00084AE3"/>
    <w:rsid w:val="000A0D3C"/>
    <w:rsid w:val="000A1886"/>
    <w:rsid w:val="000B1C66"/>
    <w:rsid w:val="000B2284"/>
    <w:rsid w:val="000B4678"/>
    <w:rsid w:val="000B52A4"/>
    <w:rsid w:val="000B6BD4"/>
    <w:rsid w:val="000C0564"/>
    <w:rsid w:val="000C34CB"/>
    <w:rsid w:val="000C4D86"/>
    <w:rsid w:val="000D18B5"/>
    <w:rsid w:val="000D2185"/>
    <w:rsid w:val="000D43B1"/>
    <w:rsid w:val="000D6968"/>
    <w:rsid w:val="000D77A9"/>
    <w:rsid w:val="000D7F99"/>
    <w:rsid w:val="000E1E26"/>
    <w:rsid w:val="000F5409"/>
    <w:rsid w:val="000F702C"/>
    <w:rsid w:val="00104954"/>
    <w:rsid w:val="001134CB"/>
    <w:rsid w:val="001265AD"/>
    <w:rsid w:val="0013349F"/>
    <w:rsid w:val="001366E2"/>
    <w:rsid w:val="00136D61"/>
    <w:rsid w:val="00144689"/>
    <w:rsid w:val="00150180"/>
    <w:rsid w:val="00151499"/>
    <w:rsid w:val="00152D14"/>
    <w:rsid w:val="0015312D"/>
    <w:rsid w:val="00161BA0"/>
    <w:rsid w:val="00172F53"/>
    <w:rsid w:val="00174361"/>
    <w:rsid w:val="00186AC1"/>
    <w:rsid w:val="00190239"/>
    <w:rsid w:val="001927B0"/>
    <w:rsid w:val="001947F4"/>
    <w:rsid w:val="001B37A2"/>
    <w:rsid w:val="001C27A2"/>
    <w:rsid w:val="001C4A50"/>
    <w:rsid w:val="001D1218"/>
    <w:rsid w:val="001D301B"/>
    <w:rsid w:val="001E30C5"/>
    <w:rsid w:val="001E4F99"/>
    <w:rsid w:val="001F0DD3"/>
    <w:rsid w:val="00204705"/>
    <w:rsid w:val="00210762"/>
    <w:rsid w:val="00211F44"/>
    <w:rsid w:val="00214D59"/>
    <w:rsid w:val="00232ECA"/>
    <w:rsid w:val="002409ED"/>
    <w:rsid w:val="00240B74"/>
    <w:rsid w:val="00242A2C"/>
    <w:rsid w:val="002512E7"/>
    <w:rsid w:val="002515F5"/>
    <w:rsid w:val="00265F00"/>
    <w:rsid w:val="00273CE8"/>
    <w:rsid w:val="002A1C2C"/>
    <w:rsid w:val="002A2D89"/>
    <w:rsid w:val="002B2476"/>
    <w:rsid w:val="002B4F3E"/>
    <w:rsid w:val="002D591D"/>
    <w:rsid w:val="002E3F60"/>
    <w:rsid w:val="002E5726"/>
    <w:rsid w:val="002E6C3C"/>
    <w:rsid w:val="002F6001"/>
    <w:rsid w:val="002F6100"/>
    <w:rsid w:val="0030333A"/>
    <w:rsid w:val="0030342A"/>
    <w:rsid w:val="003036B7"/>
    <w:rsid w:val="00304F05"/>
    <w:rsid w:val="00317F63"/>
    <w:rsid w:val="003208C4"/>
    <w:rsid w:val="0032699D"/>
    <w:rsid w:val="003354A9"/>
    <w:rsid w:val="00350FC1"/>
    <w:rsid w:val="003534BC"/>
    <w:rsid w:val="003733B0"/>
    <w:rsid w:val="00393537"/>
    <w:rsid w:val="003A7761"/>
    <w:rsid w:val="003E44BA"/>
    <w:rsid w:val="003E6D06"/>
    <w:rsid w:val="003E7B35"/>
    <w:rsid w:val="003F580C"/>
    <w:rsid w:val="004003DF"/>
    <w:rsid w:val="004124E3"/>
    <w:rsid w:val="0041660F"/>
    <w:rsid w:val="00416667"/>
    <w:rsid w:val="00436345"/>
    <w:rsid w:val="004465F2"/>
    <w:rsid w:val="0047426A"/>
    <w:rsid w:val="00475563"/>
    <w:rsid w:val="0047638E"/>
    <w:rsid w:val="00477E7D"/>
    <w:rsid w:val="00484710"/>
    <w:rsid w:val="00486349"/>
    <w:rsid w:val="004A19C1"/>
    <w:rsid w:val="004A5E66"/>
    <w:rsid w:val="004A7CB3"/>
    <w:rsid w:val="004C257B"/>
    <w:rsid w:val="004D3794"/>
    <w:rsid w:val="004D7258"/>
    <w:rsid w:val="004E2667"/>
    <w:rsid w:val="004E44FE"/>
    <w:rsid w:val="004E4542"/>
    <w:rsid w:val="004E497A"/>
    <w:rsid w:val="004E6FE1"/>
    <w:rsid w:val="004F1A2E"/>
    <w:rsid w:val="004F40B1"/>
    <w:rsid w:val="00507EAA"/>
    <w:rsid w:val="00515C44"/>
    <w:rsid w:val="00516299"/>
    <w:rsid w:val="005205F7"/>
    <w:rsid w:val="00521540"/>
    <w:rsid w:val="00523EA4"/>
    <w:rsid w:val="005442AC"/>
    <w:rsid w:val="00544B82"/>
    <w:rsid w:val="00547299"/>
    <w:rsid w:val="0055052C"/>
    <w:rsid w:val="0055203A"/>
    <w:rsid w:val="00570932"/>
    <w:rsid w:val="0057102C"/>
    <w:rsid w:val="005820E8"/>
    <w:rsid w:val="00595C3D"/>
    <w:rsid w:val="00597AEA"/>
    <w:rsid w:val="005B11A4"/>
    <w:rsid w:val="005C413C"/>
    <w:rsid w:val="005C706B"/>
    <w:rsid w:val="005D273F"/>
    <w:rsid w:val="005F1B16"/>
    <w:rsid w:val="005F5E7E"/>
    <w:rsid w:val="00604C03"/>
    <w:rsid w:val="006155B3"/>
    <w:rsid w:val="0062537D"/>
    <w:rsid w:val="00625D85"/>
    <w:rsid w:val="00634F4E"/>
    <w:rsid w:val="0063758E"/>
    <w:rsid w:val="00665F02"/>
    <w:rsid w:val="00670D92"/>
    <w:rsid w:val="00686607"/>
    <w:rsid w:val="0068665B"/>
    <w:rsid w:val="00687B64"/>
    <w:rsid w:val="0069301C"/>
    <w:rsid w:val="00693BEF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D1D89"/>
    <w:rsid w:val="006E132C"/>
    <w:rsid w:val="006E2314"/>
    <w:rsid w:val="006F36C9"/>
    <w:rsid w:val="006F3DEF"/>
    <w:rsid w:val="0071112D"/>
    <w:rsid w:val="007139B8"/>
    <w:rsid w:val="00715F34"/>
    <w:rsid w:val="00717BFF"/>
    <w:rsid w:val="00723329"/>
    <w:rsid w:val="0072399C"/>
    <w:rsid w:val="00731260"/>
    <w:rsid w:val="00733905"/>
    <w:rsid w:val="00735676"/>
    <w:rsid w:val="0073571D"/>
    <w:rsid w:val="007508AF"/>
    <w:rsid w:val="00755356"/>
    <w:rsid w:val="0075677D"/>
    <w:rsid w:val="007755A9"/>
    <w:rsid w:val="00785BB9"/>
    <w:rsid w:val="007923C0"/>
    <w:rsid w:val="007924BD"/>
    <w:rsid w:val="007945E1"/>
    <w:rsid w:val="00794E02"/>
    <w:rsid w:val="007A54E7"/>
    <w:rsid w:val="007B0B69"/>
    <w:rsid w:val="007D4A09"/>
    <w:rsid w:val="007E2F43"/>
    <w:rsid w:val="007E422D"/>
    <w:rsid w:val="007F1195"/>
    <w:rsid w:val="00805328"/>
    <w:rsid w:val="0082179B"/>
    <w:rsid w:val="00825532"/>
    <w:rsid w:val="00834362"/>
    <w:rsid w:val="0083617D"/>
    <w:rsid w:val="00840273"/>
    <w:rsid w:val="00841488"/>
    <w:rsid w:val="008429D3"/>
    <w:rsid w:val="0084586D"/>
    <w:rsid w:val="0085053B"/>
    <w:rsid w:val="00852228"/>
    <w:rsid w:val="008561A4"/>
    <w:rsid w:val="0086087F"/>
    <w:rsid w:val="0086202A"/>
    <w:rsid w:val="00871FCE"/>
    <w:rsid w:val="00886AEF"/>
    <w:rsid w:val="008A52A0"/>
    <w:rsid w:val="008C3612"/>
    <w:rsid w:val="008D1B0B"/>
    <w:rsid w:val="008D6E0E"/>
    <w:rsid w:val="008D6E1F"/>
    <w:rsid w:val="008E3053"/>
    <w:rsid w:val="00920E5D"/>
    <w:rsid w:val="00932F46"/>
    <w:rsid w:val="00945A19"/>
    <w:rsid w:val="00945B9D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3847"/>
    <w:rsid w:val="009A3B2E"/>
    <w:rsid w:val="009A4FB5"/>
    <w:rsid w:val="009B20EF"/>
    <w:rsid w:val="009B7CBC"/>
    <w:rsid w:val="009C2E06"/>
    <w:rsid w:val="009C646B"/>
    <w:rsid w:val="009C6543"/>
    <w:rsid w:val="009D30C6"/>
    <w:rsid w:val="009D7531"/>
    <w:rsid w:val="009F2EA1"/>
    <w:rsid w:val="009F3A3F"/>
    <w:rsid w:val="00A12D67"/>
    <w:rsid w:val="00A16305"/>
    <w:rsid w:val="00A24C06"/>
    <w:rsid w:val="00A261A7"/>
    <w:rsid w:val="00A321F7"/>
    <w:rsid w:val="00A41F53"/>
    <w:rsid w:val="00A62986"/>
    <w:rsid w:val="00A62DCD"/>
    <w:rsid w:val="00A7138C"/>
    <w:rsid w:val="00A729FD"/>
    <w:rsid w:val="00A76F8F"/>
    <w:rsid w:val="00A809CF"/>
    <w:rsid w:val="00A81335"/>
    <w:rsid w:val="00A81C74"/>
    <w:rsid w:val="00A828C1"/>
    <w:rsid w:val="00A85E7F"/>
    <w:rsid w:val="00AA3413"/>
    <w:rsid w:val="00AB24CE"/>
    <w:rsid w:val="00AB2584"/>
    <w:rsid w:val="00AC25D7"/>
    <w:rsid w:val="00B01746"/>
    <w:rsid w:val="00B05C06"/>
    <w:rsid w:val="00B106C4"/>
    <w:rsid w:val="00B17EB1"/>
    <w:rsid w:val="00B206FD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54E"/>
    <w:rsid w:val="00BD445B"/>
    <w:rsid w:val="00BE5937"/>
    <w:rsid w:val="00BF0666"/>
    <w:rsid w:val="00BF3540"/>
    <w:rsid w:val="00C13F53"/>
    <w:rsid w:val="00C17527"/>
    <w:rsid w:val="00C22E0C"/>
    <w:rsid w:val="00C27A0F"/>
    <w:rsid w:val="00C34C8C"/>
    <w:rsid w:val="00C36F51"/>
    <w:rsid w:val="00C55B72"/>
    <w:rsid w:val="00C60EFA"/>
    <w:rsid w:val="00C61335"/>
    <w:rsid w:val="00C65304"/>
    <w:rsid w:val="00C668F1"/>
    <w:rsid w:val="00C810B6"/>
    <w:rsid w:val="00C906F4"/>
    <w:rsid w:val="00C93CDB"/>
    <w:rsid w:val="00CB257C"/>
    <w:rsid w:val="00CC1B85"/>
    <w:rsid w:val="00CC45DD"/>
    <w:rsid w:val="00CD0E19"/>
    <w:rsid w:val="00CE00FD"/>
    <w:rsid w:val="00CE73A0"/>
    <w:rsid w:val="00D05F47"/>
    <w:rsid w:val="00D12238"/>
    <w:rsid w:val="00D21DF0"/>
    <w:rsid w:val="00D235FD"/>
    <w:rsid w:val="00D24B14"/>
    <w:rsid w:val="00D336E4"/>
    <w:rsid w:val="00D44427"/>
    <w:rsid w:val="00D4681C"/>
    <w:rsid w:val="00D75F55"/>
    <w:rsid w:val="00D75FE2"/>
    <w:rsid w:val="00D87E78"/>
    <w:rsid w:val="00D9194E"/>
    <w:rsid w:val="00D926F4"/>
    <w:rsid w:val="00DB05D7"/>
    <w:rsid w:val="00DC1719"/>
    <w:rsid w:val="00DD58B6"/>
    <w:rsid w:val="00DD6C01"/>
    <w:rsid w:val="00DE154E"/>
    <w:rsid w:val="00DF21F7"/>
    <w:rsid w:val="00E07419"/>
    <w:rsid w:val="00E34C0E"/>
    <w:rsid w:val="00E44F02"/>
    <w:rsid w:val="00E4757A"/>
    <w:rsid w:val="00E52FD4"/>
    <w:rsid w:val="00E60E49"/>
    <w:rsid w:val="00E713F0"/>
    <w:rsid w:val="00E77E55"/>
    <w:rsid w:val="00E820EE"/>
    <w:rsid w:val="00E83B59"/>
    <w:rsid w:val="00E857A7"/>
    <w:rsid w:val="00E8704E"/>
    <w:rsid w:val="00E9379A"/>
    <w:rsid w:val="00E960B9"/>
    <w:rsid w:val="00E96DF1"/>
    <w:rsid w:val="00EA02DE"/>
    <w:rsid w:val="00EA169B"/>
    <w:rsid w:val="00EA250C"/>
    <w:rsid w:val="00EB3BAF"/>
    <w:rsid w:val="00EB4C7B"/>
    <w:rsid w:val="00EC2B62"/>
    <w:rsid w:val="00EC395B"/>
    <w:rsid w:val="00ED2448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57021"/>
    <w:rsid w:val="00F65F4F"/>
    <w:rsid w:val="00F81586"/>
    <w:rsid w:val="00FA667A"/>
    <w:rsid w:val="00FA7CE8"/>
    <w:rsid w:val="00FB2BD1"/>
    <w:rsid w:val="00FB73BC"/>
    <w:rsid w:val="00FC1C5E"/>
    <w:rsid w:val="00FC36CC"/>
    <w:rsid w:val="00FC4F77"/>
    <w:rsid w:val="00FC517B"/>
    <w:rsid w:val="00FC61E8"/>
    <w:rsid w:val="00FD2482"/>
    <w:rsid w:val="00FD3CF7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053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2603-9A49-48EC-A74C-FFEC60C4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2</cp:revision>
  <cp:lastPrinted>2015-10-28T13:39:00Z</cp:lastPrinted>
  <dcterms:created xsi:type="dcterms:W3CDTF">2015-10-29T07:01:00Z</dcterms:created>
  <dcterms:modified xsi:type="dcterms:W3CDTF">2015-10-29T07:01:00Z</dcterms:modified>
</cp:coreProperties>
</file>